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Lines w:val="0"/>
        <w:widowControl w:val="0"/>
        <w:spacing w:after="0" w:before="0" w:line="240" w:lineRule="auto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December 26,,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December 11, 2023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before="20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Purchase of Case 621G Loader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John Street Water Service Replacement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Feasibility Study for Wastewater Treatment Plant Needs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$171,916.70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$135,407.51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8">
      <w:pPr>
        <w:keepNext w:val="1"/>
        <w:widowControl w:val="0"/>
        <w:numPr>
          <w:ilvl w:val="0"/>
          <w:numId w:val="1"/>
        </w:numPr>
        <w:spacing w:after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Utility - Approval of Hiring New Water Trainee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ZY0U8UtbzIFjcKb5J+RS+7BZA==">CgMxLjAyDmgueDdjdWNrN3kzcGY1Mg5oLm1iZnZid2ZnYWpoODgAciExb3NaaHR6bXltRF9aUlhaNmJ5RTJrSV9VTGc5ejgzX0s=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