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December 4,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 20,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3rd Reading of Ordinance 1627 - 2024 Salary Ordinance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2024 Council Meeting Schedule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of Ordinance 1628 - Establishment of Redevelopment Authority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Express Interest is appraisals for City Hall and Emergency Services Building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$297,796.75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7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0+/atOS2Y/mrU3vddjbyT0UjvA==">CgMxLjAyCWguMzBqMHpsbDIIaC5namRneHM4AHIhMXlXZmlzbzE2dktWUENHcnJ3TUVIakN0VHZia1o1NHV4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