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September 11,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August 28,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after="6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Facility and Equipment Request for Promenade on the Path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Dr. Change Order #4 Field Tile Reconnects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Dr. Change Order #5 HMA to Concrete Path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$194,396.37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$72,141.41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9">
      <w:pPr>
        <w:keepNext w:val="1"/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Utility</w:t>
      </w:r>
    </w:p>
    <w:p w:rsidR="00000000" w:rsidDel="00000000" w:rsidP="00000000" w:rsidRDefault="00000000" w:rsidRPr="00000000" w14:paraId="0000001A">
      <w:pPr>
        <w:keepNext w:val="1"/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</w:t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1"/>
        </w:numPr>
        <w:spacing w:after="6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Mayor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spacing w:after="60" w:before="20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XQxNW4MQtKm2kOrfyTAXC0BsQ==">CgMxLjAyDmgueDdjdWNrN3kzcGY1Mg5oLm1iZnZid2ZnYWpoODgAciExOXlRR0FLdHFuejRhZUJLZ1RDOU1TakdCRzF0czRVSzQ=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