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August 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July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Clerk-Treasurer Report - June 30, 2023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Ordinance 1623 - Additional Appropriations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2023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’s totalling $851,125.69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4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PMZfbdrQuoff6G+WbkVyrOa/JQ==">CgMxLjAyCWguMzBqMHpsbDgAciExZ0ljZ3h1blFEWkswOTZJdGI0YjNsanBkMDB1ZGxxTHI=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