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rPr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July 10,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June 26, 2023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60" w:line="240" w:lineRule="auto"/>
        <w:ind w:left="180" w:hanging="180"/>
      </w:pPr>
      <w:r w:rsidDel="00000000" w:rsidR="00000000" w:rsidRPr="00000000">
        <w:rPr>
          <w:rtl w:val="0"/>
        </w:rPr>
        <w:t xml:space="preserve">Approval of Consent Agenda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Friday Fest Additional Parking Request  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720" w:firstLine="0"/>
        <w:rPr/>
      </w:pPr>
      <w:bookmarkStart w:colFirst="0" w:colLast="0" w:name="_heading=h.mfdeb8aaoxo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Friday Fest Amended Request for July 14th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Approve Bond Release: R. Yoder - Intech Offsite Remediation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Commonwealth Engineers - Nappanee Water AMP Update Scope and Fee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Commonwealth Engineers - General Engineering Fee Estimates (7/1/23 - 6/30/24)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Commonwealth Engineers - Draft Email Response to Indiana Earth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Street Closure: 202 S Main St - Reliance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2023 Apple Festival Street Closures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Water Dept.’s Purchase of Snowblade for $6,500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Purchase Agreement for property on Main Street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60" w:before="200" w:line="240" w:lineRule="auto"/>
        <w:ind w:left="180" w:hanging="180"/>
        <w:rPr/>
      </w:pPr>
      <w:bookmarkStart w:colFirst="0" w:colLast="0" w:name="_heading=h.mbfvbwfgajh8" w:id="3"/>
      <w:bookmarkEnd w:id="3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Water APV’s Totaling $188,491.10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WWTP APV’s Totaling $45,773.66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before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</w:t>
      </w:r>
    </w:p>
    <w:p w:rsidR="00000000" w:rsidDel="00000000" w:rsidP="00000000" w:rsidRDefault="00000000" w:rsidRPr="00000000" w14:paraId="00000024">
      <w:pPr>
        <w:widowControl w:val="0"/>
        <w:spacing w:after="0" w:before="0" w:line="240" w:lineRule="auto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76" w:lineRule="auto"/>
      <w:jc w:val="left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-38213</wp:posOffset>
          </wp:positionV>
          <wp:extent cx="5953125" cy="1543050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vM/1sTrnny+NXoP0vvB+rF7/Q==">CgMxLjAyDmgueDdjdWNrN3kzcGY1MghoLmdqZGd4czIOaC5tZmRlYjhhYW94b3YyDmgubWJmdmJ3Zmdhamg4OAByITFidlRudngtVmR2N3hBc2UwdkRjU0xVQ2YtODRUWVl0eg==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