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June 19,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June 5,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before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Clerk-Treasurer Report - May 2023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of Ordinance 1622 - Amending 2023 Salary Ordinance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’s for 2023 totaling $458,928.75.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Mayor - Fire Station Site and Patronicity 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5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-400046</wp:posOffset>
          </wp:positionV>
          <wp:extent cx="1828800" cy="1217508"/>
          <wp:effectExtent b="0" l="0" r="0" t="0"/>
          <wp:wrapNone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-380996</wp:posOffset>
          </wp:positionV>
          <wp:extent cx="1514475" cy="1008249"/>
          <wp:effectExtent b="0" l="0" r="0" t="0"/>
          <wp:wrapNone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LTPe/KT/xsczDCk8flXgWUD/Q==">CgMxLjAyCWguMzBqMHpsbDgAciExZEVXamxwTVJLV2NIdU8xUlV2ZHZZVFBCb0ctdFZNMUM=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