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February 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January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- Ordinance 1615 - Mark Hutsell Rezoning for 158 E Centennial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0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- Ordinance 1616 - Newcomer Property Management Rezoning for 401 E. Wabash Ave.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Cancellation of Dormant Checks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- Ordinance 1614 - Funds for CCMG and Federal Highway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Resolution 768-23 - Final Internal Transfers for 2022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- Ordinance 1617 - Amending Ordinance 1597 - 2022 Salary Ordinance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1st Reading - Ordinance 1618 - Amending Ordinance 1610 - 2023 Salary Ordinance </w:t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A6uZbPDtsB53xdU1qmZCOPz/mg==">AMUW2mV3YMBM79dgzFjnkacObJqqKT+850QAZ+NJRdF1fKetV9zk6KLrGbazNsM4NxOkEnAAD+uHKJTYo4TVEMKbpbG86EBvgRmVyMz6qCchcbFb1ee7R4JDgnXrWLMLJOJTbpDQJcV7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