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January 17,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January 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236dz88tc9t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Appointments to Economic Development Commission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Ordinance 1615 - Mark Hutsell Rezoning for 158 E Centennial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Ordinance 1616 - Newcomer Property Management Rezoning for 401 E. Wabash Ave.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’s for 2023 in the amount of $584,138.08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Mayor - 2023 State of the 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/BUnnf38h/y9/OUXS6oV4Zdl4w==">AMUW2mVXKVNl2+v4SqjD7zc9fm1yxCugERAVsg34jrJ53UdDxoj0/broWzHlTS01QXRnQaQqeFBn+3aCeQZze6cMKwx8CTH5Gedfjv9KTN/ujLby1u4c4vTD+MyBs4fsSgYs7mmx3B4/0nEri8xYOJ6Ep0wwWUZnlA==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