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October 14,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September 23,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before="8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before="8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Receive Quotes for sale of Street Dept. Loader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8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before="8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Park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Comprehensive Financial Plan</w:t>
        </w:r>
      </w:hyperlink>
      <w:r w:rsidDel="00000000" w:rsidR="00000000" w:rsidRPr="00000000">
        <w:rPr>
          <w:rtl w:val="0"/>
        </w:rPr>
        <w:t xml:space="preserve"> (CFP) - Baker Tilly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before="8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$186,124.98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2024 WWTP APV’s</w:t>
        </w:r>
      </w:hyperlink>
      <w:r w:rsidDel="00000000" w:rsidR="00000000" w:rsidRPr="00000000">
        <w:rPr>
          <w:rtl w:val="0"/>
        </w:rPr>
        <w:t xml:space="preserve"> Totaling $75,697.56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A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Water 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Monthly Utilities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0"/>
          <w:numId w:val="2"/>
        </w:numPr>
        <w:spacing w:after="6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Leave of Absence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0"/>
          <w:numId w:val="2"/>
        </w:numPr>
        <w:spacing w:after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Planning -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Demolishing of 152 W. Lincoln Street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5" w:type="default"/>
      <w:headerReference r:id="rId16" w:type="first"/>
      <w:footerReference r:id="rId17" w:type="default"/>
      <w:footerReference r:id="rId18" w:type="first"/>
      <w:footerReference r:id="rId19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U5Ky2DPezYBy_h8pSgylR8jFJECGulE7" TargetMode="External"/><Relationship Id="rId10" Type="http://schemas.openxmlformats.org/officeDocument/2006/relationships/hyperlink" Target="https://drive.google.com/open?id=1sqe2FxqMDQjoAI0xSjkEfBamhTUyVQNM" TargetMode="External"/><Relationship Id="rId13" Type="http://schemas.openxmlformats.org/officeDocument/2006/relationships/hyperlink" Target="https://drive.google.com/file/d/108XbaUyk6UucEGupqjgOuWtR83oSrfaG/view?usp=drive_link" TargetMode="External"/><Relationship Id="rId12" Type="http://schemas.openxmlformats.org/officeDocument/2006/relationships/hyperlink" Target="https://drive.google.com/open?id=1U-FZPt5g-K51cvx0T9HqbTiJBFazxDY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D6QxueqS0mYZJOdYrRoXgMHWvrksfPHH/view?usp=drive_link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drive.google.com/file/d/1ZzrL8-4UcVh24_TQfxNY1pTSdvgRZ6jZ/view?usp=sharing" TargetMode="Externa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drive.google.com/file/d/1gF5IgARpsClYFqvP8A831Sz4kHvc2QvO/view?usp=sharing" TargetMode="External"/><Relationship Id="rId8" Type="http://schemas.openxmlformats.org/officeDocument/2006/relationships/hyperlink" Target="https://docs.google.com/document/d/1rpcT-z5zZHJmZK3wC-zTpD2nGdryB5H7/edit?usp=drive_link&amp;ouid=114505461071262253936&amp;rtpof=true&amp;sd=tru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i/iWGoPVPFnfnnwicbccJXjmQ==">CgMxLjAyDmgueDdjdWNrN3kzcGY1Mg5oLm1iZnZid2ZnYWpoODgAciExcmxocmtxTXhQZmxVS1ZORG42RUpvdFh2MFFQUFJZa2k=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