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July 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Austin Yoder,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Minutes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June 17,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usr5a79k2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City APV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 totaling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$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6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-400044</wp:posOffset>
          </wp:positionV>
          <wp:extent cx="1828800" cy="1217508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-380994</wp:posOffset>
          </wp:positionV>
          <wp:extent cx="1514475" cy="1008249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be91cRJlL4vK3f67yqZ2A2MPTG7CdlCs/view?usp=sharing" TargetMode="Externa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orhf39KcLwoCWuZrIO2+yj+Efw==">CgMxLjAyCWguMzBqMHpsbDIOaC4zdXNyNWE3OWsya204AHIhMXlFRGZfc1BPZ29MZk1jMTgwZDBqUUJxeWFndEFfZkd5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