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Lines w:val="0"/>
        <w:widowControl w:val="0"/>
        <w:spacing w:after="0" w:before="0" w:line="240" w:lineRule="auto"/>
        <w:ind w:right="-90"/>
        <w:rPr>
          <w:b w:val="0"/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May 13,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9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after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after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after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Minutes</w:t>
        </w:r>
      </w:hyperlink>
      <w:r w:rsidDel="00000000" w:rsidR="00000000" w:rsidRPr="00000000">
        <w:rPr>
          <w:rtl w:val="0"/>
        </w:rPr>
        <w:t xml:space="preserve"> from</w:t>
      </w:r>
      <w:r w:rsidDel="00000000" w:rsidR="00000000" w:rsidRPr="00000000">
        <w:rPr>
          <w:color w:val="85200c"/>
          <w:rtl w:val="0"/>
        </w:rPr>
        <w:t xml:space="preserve"> </w:t>
      </w:r>
      <w:r w:rsidDel="00000000" w:rsidR="00000000" w:rsidRPr="00000000">
        <w:rPr>
          <w:rtl w:val="0"/>
        </w:rPr>
        <w:t xml:space="preserve">April 22, 2024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after="12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Consent Agenda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after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after="12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Approve bid documents and authorize publication for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2024-1 CCMG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Alley Closure</w:t>
        </w:r>
      </w:hyperlink>
      <w:r w:rsidDel="00000000" w:rsidR="00000000" w:rsidRPr="00000000">
        <w:rPr>
          <w:rtl w:val="0"/>
        </w:rPr>
        <w:t xml:space="preserve"> for 106 S Main St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Friday Fest Events</w:t>
        </w:r>
      </w:hyperlink>
      <w:r w:rsidDel="00000000" w:rsidR="00000000" w:rsidRPr="00000000">
        <w:rPr>
          <w:rtl w:val="0"/>
        </w:rPr>
        <w:t xml:space="preserve"> for 2024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bookmarkStart w:colFirst="0" w:colLast="0" w:name="_heading=h.mbfvbwfgajh8" w:id="1"/>
      <w:bookmarkEnd w:id="1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2024 Water APV’s</w:t>
        </w:r>
      </w:hyperlink>
      <w:r w:rsidDel="00000000" w:rsidR="00000000" w:rsidRPr="00000000">
        <w:rPr>
          <w:rtl w:val="0"/>
        </w:rPr>
        <w:t xml:space="preserve"> Totaling $223,192.14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2024 Sewer APV’s</w:t>
        </w:r>
      </w:hyperlink>
      <w:r w:rsidDel="00000000" w:rsidR="00000000" w:rsidRPr="00000000">
        <w:rPr>
          <w:rtl w:val="0"/>
        </w:rPr>
        <w:t xml:space="preserve"> Totaling $301,045.17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1B">
      <w:pPr>
        <w:keepNext w:val="1"/>
        <w:widowControl w:val="0"/>
        <w:numPr>
          <w:ilvl w:val="0"/>
          <w:numId w:val="2"/>
        </w:numPr>
        <w:spacing w:after="20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Water –  Cathodic protection installed.   Large consumer meter testing commenced prior to Water Loss Audit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14" w:type="default"/>
      <w:headerReference r:id="rId15" w:type="first"/>
      <w:footerReference r:id="rId16" w:type="default"/>
      <w:footerReference r:id="rId17" w:type="first"/>
      <w:footerReference r:id="rId18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-38211</wp:posOffset>
          </wp:positionV>
          <wp:extent cx="5953125" cy="1543050"/>
          <wp:effectExtent b="0" l="0" r="0" t="0"/>
          <wp:wrapSquare wrapText="bothSides" distB="114300" distT="114300" distL="114300" distR="11430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MuZhGQLva6V1mndPYmC-hpO6K-ZtDpnh/view?usp=sharing" TargetMode="External"/><Relationship Id="rId10" Type="http://schemas.openxmlformats.org/officeDocument/2006/relationships/hyperlink" Target="https://drive.google.com/file/d/1Krw9CsivaYSImOK3OoAcBWxTa5pX0PUK/view?usp=drive_link" TargetMode="External"/><Relationship Id="rId13" Type="http://schemas.openxmlformats.org/officeDocument/2006/relationships/hyperlink" Target="https://drive.google.com/open?id=1KhzkLx1iExTqJameMMPF7q_1gzMOPm8i" TargetMode="External"/><Relationship Id="rId12" Type="http://schemas.openxmlformats.org/officeDocument/2006/relationships/hyperlink" Target="https://drive.google.com/open?id=1E5vHLIMfId8tGg01hffUQNZt7A23IEwJ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S5LykMYlO1PMhspVhSA5L9B6fXCByIvm/view?usp=sharing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hyperlink" Target="https://drive.google.com/file/d/1mxkGGCWsDJBszXTlaCgiQYbXgyR75cGu/view?usp=sharing" TargetMode="External"/><Relationship Id="rId8" Type="http://schemas.openxmlformats.org/officeDocument/2006/relationships/hyperlink" Target="https://docs.google.com/document/d/1TkuyU0vRqcKiGUut1JTAVhMj9sjc_B-2/edit?usp=drive_link&amp;ouid=114505461071262253936&amp;rtpof=true&amp;sd=tru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ICkEMlGrKys2R77jtvh/JQDIMQ==">CgMxLjAyDmgueDdjdWNrN3kzcGY1Mg5oLm1iZnZid2ZnYWpoODgAciExUV9lbXBlRXV4MDNxTDliM1lndlBsMDRHa2NxNVFFY04=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